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ORDONANŢĂ DE URGENŢĂ   Nr. 77 din 27 noiembrie 2012</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pentru modificarea şi completarea Ordonanţei de urgenţă a Guvernului nr. 34/2006 privind atribuirea contractelor de achiziţie publică, a contractelor de concesiune de lucrări publice şi a contractelor de concesiune de servicii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EMITENT:      GUVERNUL ROMÂNIEI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PUBLICATĂ ÎN: MONITORUL OFICIAL  NR. 827 din 10 decembrie 2012</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Având în vedere necesitatea adoptării unor măsuri urgente pentru perfecţionarea şi flexibilizarea sistemului achiziţiilor publice, în caz contrar existând riscul diminuării gradului de cheltuire a fondurilor alocate, inclusiv a fondurilor comunitare, consecinţa cea mai gravă în acest caz reprezentând-o amânarea/întârzierea implementării unor proiecte de investiţii majore, cu impact social şi economic la nivel naţional sau local,</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ţinând cont de angajamentele asumate de Guvern prin Scrisoarea de intenţie şi Memorandumul tehnic de înţelegere cu Fondul Monetar Internaţional din 8 iunie 2012, ce privesc creşterea eficienţei şi transparenţei procedurilor de achiziţii publice ca prioritate de vârf, şi având în vedere faptul că nerespectarea obligaţiilor asumate atrage după sine dificultăţi în asigurarea şi utilizarea fondurilor aferente restructurării şi reformării activităţilor de interes general, putând fi sistate plăţile pentru programele operaţionale,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luând în considerare perioada lungă pe care o presupune procedura parlamentară, precum şi faptul că prevederile Regulamentului (UE) nr. 1.251/2011 al Comisiei din 30 noiembrie 2011 de modificare a Directivelor 2004/17/CE, 2004/18/CE şi 2009/81/CE ale Parlamentului European şi ale Consiliului în ceea ce priveşte pragurile de aplicare a acestora în cazul procedurilor de atribuire a contractelor de achiziţii au intrat în vigoare la data de 1 ianuarie 2012, devine necesară adaptarea legislaţiei naţionale astfel încât să asigure transpunerea directivelor aşa cum au fost acestea modificate, cu atât mai mult cu cât necorelarea cu prevederile regulamentului menţionat conduce la existenţa unor discrepanţe între pragurile prevăzute de legislaţia naţională şi cele prevăzute de legislaţia europeană, ceea ce poate crea confuzii în luarea deciziilor de către instanţele de judecată.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În temeiul art. 115 alin. (4) din Constituţia României, republicată,</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Guvernul României adoptă prezenta ordonanţă de urgenţă.</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Ordonanţa de urgenţă a Guvernului nr. 34/2006 privind atribuirea contractelor de achiziţie publică, a contractelor de concesiune de lucrări publice şi a contractelor de concesiune de servicii, publicată în Monitorul Oficial al României, Partea I, nr. 418 din 15 mai 2006, aprobată cu modificări şi completări prin Legea nr. 337/2006, cu modificările şi completările ulterioare, se modifică şi se completează după cum urmează: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Articolul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Prezenta ordonanţă de urgenţă reglementează regimul juridic al contractului de achiziţie publică, al contractului de concesiune de lucrări publice şi al contractului de concesiune de servicii, procedurile de atribuire a acestor contracte, precum şi modalităţile de soluţionare a contestaţiilor formulate împotriva actelor emise în legătură cu aceste proceduri."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La articolul 2 alineatul (2), litera f)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"f) eficienţa utilizării fondurilor;".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La articolul 3, litera f)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"f) contract de achiziţie publică - contractul, asimilat, potrivit legii, actului administrativ, care include şi categoria contractului sectorial, astfel cum este definit la art. 229 alin. (2), cu titlu oneros, încheiat în scris între una sau mai multe autorităţi contractante, pe de o parte, şi unul ori mai mulţi operatori economici, pe de altă parte, având ca obiect execuţia de lucrări, furnizarea de produse sau prestarea de servicii;".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La articolul 3, după litera k) se introduce o nouă literă, litera k^1),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"k^1) fişa de date - document al documentaţiei de atribuire ce cuprinde informaţii generale privind autoritatea contractantă, în special cu privire la adresă - inclusiv telefon, fax, e-mail, </w:t>
      </w:r>
      <w:r w:rsidRPr="001A3A42">
        <w:rPr>
          <w:rFonts w:ascii="Arial" w:hAnsi="Arial" w:cs="Arial"/>
          <w:sz w:val="22"/>
          <w:szCs w:val="22"/>
        </w:rPr>
        <w:lastRenderedPageBreak/>
        <w:t>persoane de contact, mijloace de comunicare, formalităţi care trebuie îndeplinite în legătură cu participarea la procedura de atribuire, dacă sunt solicitate de autoritatea contractantă, toate cerinţele minime de calificare, precum şi toate documentele care urmează să fie prezentate de ofertanţi/candidaţi pentru dovedirea îndeplinirii criteriilor de calificare şi selecţie, instrucţiuni privind modul de elaborare şi de prezentare a propunerii tehnice şi financiare, informaţii detaliate şi complete privind criteriul de atribuire aplicat pentru stabilirea ofertei câştigătoare, instrucţiuni privind căile de atac prevăzute de lege, precum şi orice alte informaţii prevăzute de legislaţia în domeniu;".</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La articolul 3, după litera s^1) se introduce o nouă literă, litera s^2),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"s^2) persoane cu funcţii de decizie - conducătorul autorităţii contractante, membrii organelor decizionale ale autorităţii contractante ce au legătură cu procedura de atribuire, precum şi orice alte persoane din cadrul autorităţii contractante ce pot influenţa conţinutul documentaţiei de atribuire şi/sau procedura de atribuire;".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La articolul 8, după litera b) se introduce o nouă literă, litera b^1),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"b^1) orice regie autonomă sau companie naţională/societate comercială cu capital integral ori majoritar deţinut de o autoritate contractantă, astfel cum este definită la lit. a), sau de către un alt organism de drept public;".</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 La articolul 9, literele c) şi c^1) se modifică şi vor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atribuirea, de către o entitate juridică fără calitate de autoritate contractantă, a unui contract de lucrări, în cazul în care se îndeplinesc în mod cumulativ următoarele condiţii: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 respectivul contract este finanţat/subvenţionat în mod direct, în proporţie de mai mult de 50%, de către o autoritate contractantă;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 valoarea estimată a respectivului contract este egală sau mai mare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c^1) atribuirea, de către o entitate juridică fără calitate de autoritate contractantă, a unui contract de servicii, în cazul în care se îndeplinesc în mod cumulativ următoarele condiţii: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 respectivul contract este finanţat/subvenţionat în mod direct, în proporţie de mai mult de 50%, de către o autoritate contractantă;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 valoarea estimată a respectivului contract este egală sau mai mare decât echivalentul în lei al sumei de 200.000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8. La articolul 13, litera d)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se referă la prestarea de servicii financiare în legătură cu emiterea, cumpărarea, vânzarea sau transferul valorilor mobiliare ori al altor instrumente financiare, în special operaţii ale autorităţii contractante efectuate în scopul atragerii de resurse financiare şi/sau de capital, precum şi prestarea de servicii de către bănci centrale;".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9. După articolul 19 se introduce un nou articol, articolul 19^1,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19^1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În situaţia prevăzută la art. 19, autoritatea contractantă transmite în SEAP o notificare cu privire la achiziţia directă a cărei valoare depăşeşte echivalentul în lei al sumei de 5.000 euro fără TVA, în cel mult 10 zile de la data primirii documentului justificativ ce stă la baza achiziţiei realizate.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Transmiterea notificării prevăzute la alin. (1) se va efectua în format electronic prin utilizarea aplicaţiei disponibile la adresa de internet www.e-licitatie.ro şi va cuprinde următoarele informaţii: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denumirea şi datele de identificare ale operatorului economic;</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obiectul achiziţiei;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codul CPV;</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valoarea achiziţiei;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e) cantitatea achiziţionată;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f) data realizării/atribuirii achiziţiei."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10. Articolul 20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20</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Autoritatea contractantă atribuie contractul de achiziţie publică prin aplicarea procedurilor de licitaţie deschisă sau licitaţie restrânsă.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(2) Prin excepţie de la prevederile alin. (1), autoritatea contractantă poate aplica celelalte proceduri prevăzute la art. 18 alin. (1), după caz, numai în circumstanţele specifice prevăzute la art. 94, art. 110 alin. (1), art. 122 sau art. 124."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11. La articolul 28, după alineatul (6) se introduce un nou alineat, alineatul (7),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 În cazul contractelor de servicii aferente realizării investiţiilor publice şi/sau a lucrărilor de intervenţie asupra acestora, valoarea estimată cuprinde şi cuantumul aferent procentului de diverse şi neprevăzute, astfel cum acestea au fost definite de către proiectant în devizul general, prin raportarea acestui procent la valoarea estimată a contractului şi fără a aduce atingere prevederilor art. 122 lit. i), respectiv art. 252 lit. j)."</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12. La articolul 29, după alineatul (2) se introduce un nou alineat, alineatul (2^1),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"(2^1) Valoarea estimată cuprinde şi cuantumul aferent procentului de diverse şi neprevăzute, astfel cum acestea au fost definite de către proiectant în devizul general, prin raportarea acestui procent la valoarea estimată a contractului şi fără a aduce atingere prevederilor art. 122 lit. i), respectiv art. 252 lit. j)."</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13. La articolul 33,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Documentaţia de atribuire cuprinde: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fişa de date;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caietul de sarcini sau documentaţia descriptivă, aceasta din urmă fiind utilizată în cazul aplicării procedurii de dialog competitiv ori de negociere;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informaţii referitoare la clauzele contractuale obligatorii."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14. La articolul 33, după alineatul (2) se introduc două noi alineate, alineatele (3) şi (4),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Cerinţele/Criteriile de calificare şi/sau selecţie, care se regăsesc în caietul de sarcini ori documentaţia descriptivă şi care nu sunt preluate în fişa de date/invitaţia de participare/anunţul de participare, sunt considerate clauze nescrise.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Orice factor de evaluare cuprins în documentaţia de atribuire, care nu se regăseşte în invitaţia de participare/anunţul de participare, este considerat clauză nescrisă."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15. Articolul 33^1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33^1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Autoritatea Naţională pentru Reglementarea şi Monitorizarea Achiziţiilor Publice evaluează, înainte de transmiterea spre publicare a invitaţiei de participare/anunţului de participare, conformitatea cu legislaţia aplicabilă în domeniul achiziţiilor publice a documentaţiei de atribuire aferente contractelor de achiziţie publică care intră sub incidenţa prevederilor prezentei ordonanţe de urgenţă, fără ca această evaluare să aibă în vedere caietul de sarcini sau documentaţia descriptivă, după caz.</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termen de maximum 10 zile de la data primirii documentaţiei în SEAP, Autoritatea Naţională pentru Reglementarea şi Monitorizarea Achiziţiilor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emite autorităţii contractante acceptul în vederea iniţierii procedurii de atribuire; sau</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informează autoritatea contractantă asupra neconformităţilor constatate la nivelul documentaţiei de atribuire şi a motivului pentru care acestea nu sunt în concordanţă cu prevederile legale privind achiziţiile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(2^1) Documentaţia de atribuire retransmisă de autoritatea contractantă ca urmare a incidenţei prevederilor alin. (2) lit. b) este evaluată de către Autoritatea Naţională pentru Reglementarea şi Monitorizarea Achiziţiilor Publice în termen de maximum 3 zile de la data repostării acesteia în SEAP.</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Documentele transmise în SEAP de către autorităţile contractante vor fi semnate cu semnătură electronică extinsă, bazată pe un certificat calificat, eliberat de un furnizor de servicii de certificare acreditat.</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Autoritatea contractantă încarcă în SEAP, odată cu documentaţia de atribuire, o declaraţie pe propria răspundere a reprezentantului legal ce va conţine datele de identificare ale persoanelor ce deţin funcţii de decizie în cadrul autorităţii contractante. Acest document nu are caracter de document public."</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16. La articolul 43^1 alineatul (2), litera a)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"a) cuantumul garanţiei de participare, menţionat şi în invitaţia de participare/anunţul de participare, în sumă fixă ce nu poate depăşi 2% din valoarea estimată a contractului, dar nu mai puţin decât sumele prevăzute la art. 278^1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17. La articolul 49 alineatul (2), după litera b) se introduce o nouă literă, litera c),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erata la anunţul/invitaţia de participare ce modifică/completează informaţiile publicate în anunţul/invitaţia de participare."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18. După articolul 50 se introduce un nou articol, articolul 50^1,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50^1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Eratele prevăzute la art. 49 alin. (2) lit. c) se verifică de Autoritatea Naţională pentru Reglementarea şi Monitorizarea Achiziţiilor Publice în termen de două zile de la data primirii în SEAP.</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Prevederile art. 49 alin. (3) - (7) se aplică în mod corespunzător.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Modificarea/Completarea criteriilor de calificare şi selecţie, în condiţiile prevăzute la art. 179 alin. (4), se face în mod obligatoriu prin publicarea unei erate şi cu prelungirea perioadei necesare elaborării candidaturilor/ofertelor.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În cazul contractelor a căror valoare este egală sau mai mare decât pragurile valorice prevăzute la art. 55 alin. (2), autoritatea contractantă publică orice modificare/completare a informaţiilor cuprinse în anunţul de participare, prin intermediul eratei, atât în SEAP, cât şi în JOUE.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Este interzisă modificarea/completarea informaţiilor cuprinse în invitaţia de participare/anunţul de participare prin intermediul clarificărilor şi fără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19. La articolul 51 alineatul (1), litera c)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valoarea estimată a contractelor de lucrări, care urmează să fie atribuite în următoarele 12 luni, este egală sau mai mare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20. La articolul 55,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Publicarea în Jurnalul Oficial al Uniunii Europene este obligatorie în toate situaţiile în care: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autoritatea contractantă se încadrează în una dintre categoriile prevăzute la art. 8 lit. a) - c), iar valoarea estimată a contractului de furnizare sau de servicii care urmează să fie atribuit este egală ori mai mare decât echivalentul în lei al sumei de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autoritatea contractantă se încadrează în una dintre categoriile prevăzute la art. 8 lit. d) sau e), iar valoarea estimată a contractului de furnizare ori de servicii care urmează să fie atribuit este egală sau mai mare decât echivalentul în lei al sumei de 400.000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valoarea estimată a contractului de lucrări care urmează să fie atribuit este egală sau mai mare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21. La articolul 57,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Publicarea în Jurnalul Oficial al Uniunii Europene este obligatorie în toate situaţiile în care: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autoritatea contractantă se încadrează în una dintre categoriile prevăzute la art. 8 lit. a) - c), iar valoarea contractului de furnizare sau de servicii care a fost atribuit este egală ori mai mare decât echivalentul în lei al sumei de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autoritatea contractantă se încadrează în una dintre categoriile prevăzute la art. 8 lit. d) sau e), iar valoarea estimată a contractului de furnizare ori de servicii care a fost atribuit este egală sau mai mare decât echivalentul în lei al sumei de 400.000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valoarea estimată a contractului de lucrări care a fost atribuit este egală sau mai mare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22. La articolul 58,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58</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În cazul atribuirii contractelor de publicitate media, cu o valoare estimată mai mare decât cea prevăzută la art. 19, autoritatea contractantă are obligaţia de a publica un anunţ de participare şi un anunţ de atribuire în sistemul informatic de utilitate publică disponibil pe internet, la o adresă dedicată, precum şi pe pagina proprie de internet."</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23. După articolul 69^1 se introduce un nou articol, articolul 69^2,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69^2</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(1) Autoritatea contractantă precizează în fişa de date/invitaţia de participare/anunţul de participare numele persoanelor ce deţin funcţii de decizie în cadrul autorităţii contractante.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Autoritatea contractantă publică în SEAP denumirea şi datele de identificare ale ofertantului/candidatului/ofertantului asociat/subcontractantului/terţului susţinător, în termen de maximum 5 zile de la expirarea termenului-limită de depunere a candidaturilor/ofertelor, cu excepţia persoanelor fizice, pentru care se publică numai numele."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24. Articolul 72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72</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Autoritatea contractantă prelungeşte perioada pentru elaborarea ofertelor în cazul în care: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acestea nu pot fi elaborate decât după vizitarea amplasamentelor sau după consultarea la faţa locului a unor documente-anexă la caietul de sarcini;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autoritatea contractantă nu are posibilitatea de a transmite documentaţia de atribuire sau răspunsul la solicitarea de clarificări în termenele-limită stabilite de prezenta ordonanţă de urgenţă, deşi a primit în timp util o solicitare în acest sens;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perioada de timp stabilită potrivit art. 71 nu este suficientă pentru elaborarea ofertelor şi/sau pentru pregătirea documentelor de calificare care sunt solicitate prin documentaţia de atribuire.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oricare din situaţiile de la alin. (1), data-limită de depunere a ofertelor se decalează, prin publicarea unei erate, cu o perioadă suficientă, astfel încât orice operator economic interesat să dispună de un timp rezonabil necesar pentru obţinerea informaţiilor complete şi relevante pentru elaborarea ofertei."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25. La articolul 79,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perioada necesară pentru elaborarea şi transmiterea răspunsului face posibilă primirea acestuia de către operatorii economici înainte de data-limită de depunere a ofertelor;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răspunsul nu modifică informaţiile deja publicate, nu afectează modul de elaborare a ofertelor şi nici nu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26. La articolul 79, după alineatul (2) se introduce un nou alineat, alineatul (3),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Reprezintă abateri grave de la prevederile legislative în sensul art. 209 alin. (1) lit. c)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se afectează modul de elaborare a ofertelor şi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cazul în care autoritatea contractantă constată din oficiu că sunt necesare clarificări cu privire la documentaţia de atribuire şi prin clarificarea adusă se modifică informaţiile deja publicate, se afectează modul de elaborare a ofertelor şi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27. Articolul 80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80</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Autoritatea contractantă deschide ofertele la data, ora şi adresa indicate în anunţul de participare sau în erată, dacă este cazul, cu excepţia situaţiei în care termenul de depunere a ofertelor a fost decalat în urma suspendării procedurii."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28. La articolul 85, după alineatul (4) se introduce un nou alineat, alineatul (5),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Prevederile art. 78 şi 79 se aplică în mod corespunzător, raportându-se la data-limită de depunere a candidaturilor."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29. La articolul 92,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cazul în care operatorul economic nu a transmis solicitarea de clarificare în timp util, punând astfel autoritatea contractantă în imposibilitatea de a respecta termenul prevăzut la </w:t>
      </w:r>
      <w:r w:rsidRPr="001A3A42">
        <w:rPr>
          <w:rFonts w:ascii="Arial" w:hAnsi="Arial" w:cs="Arial"/>
          <w:sz w:val="22"/>
          <w:szCs w:val="22"/>
        </w:rPr>
        <w:lastRenderedPageBreak/>
        <w:t>alin. (1), aceasta din urmă va răspunde la solicitarea de clarificare în măsura în care se respectă, în mod cumulativ,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perioada necesară pentru elaborarea şi transmiterea răspunsului face posibilă primirea acestuia de către operatorii economici înainte de data-limită de depunere a ofertelor;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răspunsul nu modifică informaţiile deja publicate/ transmise, nu afectează modul de elaborare a ofertelor şi nici nu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30. La articolul 92, după alineatul (2) se introduce un nou alineat, alineatul (3),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Reprezintă abateri grave de la prevederile legislative în sensul art. 209 alin. (1) lit. c)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se afectează modul de elaborare a ofertelor şi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cazul în care autoritatea contractantă constată din oficiu că sunt necesare clarificări cu privire la documentaţia de atribuire, fiind pusă în imposibilitate de a respecta termenul prevăzut la alin. (1), şi prin clarificarea adusă se modifică informaţiile deja publicate, se afectează modul de elaborare a ofertelor şi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31. La articolul 101, după alineatul (3) se introduce un nou alineat, alineatul (4),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Prevederile art. 78 şi 79 se aplică în mod corespunzător, raportându-se la data-limită de depunere a candidaturilor."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32. La articolul 116, după alineatul (4) se introduce un nou alineat, alineatul (5),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Prevederile art. 78 şi 79 se aplică în mod corespunzător, raportându-se la data-limită de depunere a candidaturilor."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33. La articolul 119^2,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perioada necesară pentru elaborarea şi transmiterea răspunsului face posibilă primirea acestuia de către operatorii economici înainte de data-limită de începere a negocierilor;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răspunsul nu modifică informaţiile deja publicate/ transmise, nu afectează modul de elaborare a ofertelor şi, după caz, nici nu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34. La articolul 119^2, după alineatul (2) se introduce un nou alineat, alineatul (3),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Reprezintă abateri grave de la prevederile legislative în sensul art. 209 alin. (1) lit. c) următoarele: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cazul în care operatorul economic nu a transmis solicitarea de clarificare în timp util, punând astfel autoritatea contractantă în imposibilitate de a respecta termenul prevăzut la alin. (1), şi prin răspunsul la solicitarea de clarificare se modifică informaţiile deja publicate şi se afectează modul de elaborare a ofertelor şi, după caz,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cazul în care autoritatea contractantă constată din oficiu că sunt necesare clarificări cu privire la documentaţia de atribuire, fiind pusă în imposibilitate de a respecta termenul prevăzut la alin. (1), şi prin clarificarea adusă se modifică informaţiile deja publicate, se afectează modul de elaborare a ofertelor şi, după caz, devine necesară publicarea unei erate."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35. Articolul 124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124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Peste pragul prevăzut la art. 19, autoritatea contractantă poate aplica procedura de cerere de oferte în cazul în care valoarea estimată, fără TVA, a contractului de achiziţie publică este mai mică decât echivalentul în lei al următoarelor praguri: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pentru contractul de furnizare: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b) pentru contractul de servicii: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pentru contractul de lucrări: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36. La articolul 150, litera d)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autoritatea contractantă atribuie fiecare contract ofertantului care a prezentat cea mai bună ofertă, pe baza criteriului de atribuire precizat în documentaţia de atribuire, în temeiul căruia a fost încheiat acordul-cadru."</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37. La articolul 158,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Autoritatea contractantă stabileşte o dată-limită de depunere a ofertelor orientative care, raportată la data publicării anunţului de participare simplificat prevăzut la alin. (1), nu trebuie să fie mai devreme de: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15 zile, în cazul în care valoarea estimată, potrivit prevederilor art. 32, este egală sau mai mare decât echivalentul în lei al sumei de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5 zile, în cazul în care valoarea estimată, potrivit prevederilor art. 32, este mai mică decât echivalentul în lei al sumei de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38. Articolul 163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163</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În cazul contractelor de lucrări şi servicii care presupun prestaţii intelectuale, cum ar fi consultanţă, proiectare şi altele asemenea, nu pot face obiectul licitaţiei electronice acele aspecte ale ofertei care implică evaluarea unor elemente necuantificabile, respectiv care nu pot fi exprimate în cifre sau în procente."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39. Articolul 170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170</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Ofertantul elaborează oferta în conformitate cu prevederile din documentaţia de atribuire şi indică în cuprinsul acesteia care informaţii din propunerea tehnică şi/sau din propunerea financiară sunt confidenţiale, clasificate sau sunt protejate de un drept de proprietate intelectuală."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40. La articolul 179, alineatul (4)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Orice modificare şi/sau completare a criteriilor de calificare şi selecţie precizate potrivit alin. (3) conduce/conduc la anularea procedurii de atribuire, cu excepţia:</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modificărilor dispuse prin decizia Consiliului;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modificărilor dispuse prin hotărâri ale instanţelor judecătoreşti;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măsurilor de remediere dispuse de autoritatea contractantă în temeiul art. 256^1 alin. (3) şi art. 256^3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41. La articolul 179, după alineatul (4) se introduce un nou alineat, alineatul (5),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Orice modificare de natura celor permise potrivit prevederilor alin. (4) se realizează cu prelungirea perioadei de depunere a candidaturilor/ofertelor, astfel încât operatorii economici să beneficieze de un interval de timp suficient pentru pregătirea documentelor de calificare şi/sau selecţie, respectiv, după caz, pentru elaborarea ofertelor."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42. La articolul 200, alineatele (1) şi (2) se modifică şi vor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200</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În termen de 25 de zile de la data deschiderii ofertelor, autoritatea contractantă stabileşte oferta câştigătoare, pe baza criteriului de atribuire precizat în invitaţia de participare/anunţul de participare şi în documentaţia de atribuire, dacă oferta respectivă îndeplineşte toate condiţiile de admisibilitate care rezultă din documentaţia de atribuire şi actele anexate.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cazuri temeinic motivate, autoritatea contractantă poate prelungi o singură dată perioada de evaluare, cu excepţia situaţiilor în care autoritatea contractantă reevaluează ofertele ca urmare a unei decizii a Consiliului, a unei hotărâri judecătoreşti sau a recomandărilor observatorilor Unităţii pentru Coordonarea şi Verificarea Achiziţiilor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43. La articolul 200, după alineatul (3) se introduce un nou alineat, alineatul (4),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Prelungirea perioadei de evaluare se aduce la cunoştinţa operatorilor economici implicaţi, în termen de maximum două zile de la expirarea termenului prevăzut la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44. La articolul 202, alineatul (1^1)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"(1^1) O ofertă prezintă un preţ aparent neobişnuit de scăzut în raport cu ceea ce urmează a fi furnizat, executat sau prestat, atunci când preţul ofertat, fără TVA, reprezintă mai puţin de 70% din valoarea estimată a contractului respectiv ori, în cazul în care în procedura de atribuire sunt cel puţin 5 oferte care nu sunt considerate inacceptabile şi/sau neconforme, atunci când preţul ofertat reprezintă mai puţin de 85% din media aritmetică a ofertelor calculată fără a se avea în vedere propunerea financiară cea mai mică şi propunerea financiară cea mai mare."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45. La articolul 205, după alineatul (1) se introduce un nou alineat, alineatul (1^1),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"(1^1) Prin excepţie de la prevederile alin. (1), în cazurile prevăzute la art. 27 alin. (5), art. 28 alin. (3), respectiv art. 29 alin. (3), termenele de aşteptare se raportează la valoarea estimată a fiecărui lot, publicată în invitaţia de participare/anunţul de participare."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46. La articolul 209 alineatul (4), litera a)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criteriile de calificare şi selecţie şi/sau criteriul de atribuire sau factorii de evaluare prevăzuţi în cadrul invitaţiei de participare/anunţului de participare, precum şi în documentaţia de atribuire au fost modificate/modificaţi, cu excepţia situaţiilor prevăzute la art. 179 alin. (4);".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47. La articolul 209 alineatul (4), după litera b) se introduc două noi litere, literele c) şi d),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deciziile luate de autoritatea contractantă în procesul de evaluare a ofertelor au la bază cerinţe/criterii de calificare şi/sau selecţie ce nu se regăsesc în fişa de date/invitaţia de participare/anunţul de participare;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orice situaţie reglementată expres de prezenta ordonanţă de urgenţă."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48. La articolul 213 alineatul (1), după litera c) se introduce o nouă literă, litera c^1),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"c^1) erata, dacă este cazul;".</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49. La articolul 213, după alineatul (2) se introduce un nou alineat, alineatul (3),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În cazul în care atribuirea contractului de achiziţie publică se face pe loturi, raportul procedurii de atribuire poate fi elaborat şi pentru fiecare lot în parte."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50. La articolul 215,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215</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Dosarul achiziţiei publice are caracter de document public, în forma în care se află la momentul solicitării accesului la informaţiile din cuprinsul acestuia. Accesul persoanelor la aceste informaţii se realizează cu respectarea termenelor şi procedurilor prevăzute de reglementările legale privind liberul acces la informaţiile de interes public şi nu poate fi restricţionat decât în măsura în care aceste informaţii sunt confidenţiale, clasificate sau protejate de un drept de proprietate intelectuală, potrivit legii."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51. La articolul 223,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Publicarea în Jurnalul Oficial al Uniunii Europene este obligatorie pentru contractul de concesiune de lucrări publice, în situaţiile în care valoarea estimată a acestuia este egală sau mai mare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52. La articolul 227,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227</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În cazul în care concesionarul nu are calitatea de autoritate contractantă în sensul prevederilor art. 8 lit. a) - c), acesta, atunci când atribuie un contract de lucrări sau de servicii unei terţe părţi, publică un anunţ de participare în Jurnalul Oficial al Uniunii Europene, în SEAP şi, opţional, în Monitorul Oficial al României, Partea a VI-a, Achiziţii publice, în toate situaţiile în care valoarea estimată a contractului care urmează să fie atribuit este egală sau mai mare decât echivalentul în lei al sumei de 5.000.000 euro, cu excepţia cazurilor prevăzute la art. 122. Determinarea valorii estimate a contractului se realizează conform regulilor prevăzute la art. 23 şi la cap. II secţiunea a 2-a."</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53. La articolul 256^2, după alineatul (1) se introduce un nou alineat, alineatul (1^1),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"(1^1) Prin excepţie de la prevederile alin. (1), în cazurile prevăzute la art. 27 alin. (5), art. 28 alin. (3), respectiv art. 29 alin. (3), termenele prevăzute la alin. (1) se raportează la valoarea estimată a fiecărui lot, publicată în invitaţia de participare/anunţul de participare."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54. La articolul 257, alineatul (4)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În ceea ce priveşte deciziile sale, Consiliul este independent şi nu este subordonat niciunei autorităţi sau instituţii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55. La articolul 263, alineatul (7)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 Evaluarea performanţelor individuale profesionale ale membrilor Consiliului se realizează potrivit regulamentului de organizare şi funcţionare a Consiliului, aprobat prin hotărâre a Guvernului, având la bază următoarele două criterii obligatorii de evaluare: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ponderea deciziilor casate;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consecvenţa în aplicarea unitară a dispoziţiilor în materia achiziţiilor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56. La articolul 264 alineatul (3), după litera c) se introduce o nouă literă, litera c^1),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"c^1) dacă în cadrul aceleiaşi proceduri de atribuire au soluţionat o altă contestaţie;".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57. La articolul 273,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273</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Contestaţiile formulate în cadrul aceleiaşi proceduri de atribuire vor fi conexate de către Consiliu pentru a se pronunţa o soluţie unitară."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58. La articolul 275, alineatul (6)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Părţile pot fi reprezentate de avocaţi sau de consilieri juridici şi pot depune concluzii scrise în cursul procedurii. De asemenea, părţile pot solicita să depună concluzii oral în faţa Consiliului, fără ca prin aceasta să fie afectate termenele prevăzute la art. 276."</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59. La articolul 276,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276</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Consiliul soluţionează pe fond contestaţia în termen de 20 de zile de la data primirii dosarului achiziţiei publice de la autoritatea contractantă, respectiv în termen de 10 zile în situaţia incidenţei unei excepţii care împiedică analiza pe fond a contestaţiei, potrivit art. 278 alin. (1). În cazuri temeinic justificate, termenul de soluţionare a contestaţiei poate fi prelungit o singură dată cu încă 10 zile."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60. La articolul 278, alineatul (4)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În cazul în care Consiliul admite contestaţia şi dispune luarea unor măsuri de remediere a actului atacat, precizează şi termenul în care aceasta trebuie dusă la îndeplinire, care nu va fi mai scurt decât termenul de exercitare a căii de atac împotriva deciziei Consiliului, aşa cum este prevăzut la art. 281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61. Articolul 278^1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278^1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În măsura în care Consiliul respinge pe fond contestaţia, autoritatea contractantă va reţine contestatorului din garanţia de participare în raport cu valoarea estimată a contractului următoarele sume: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peste pragul prevăzut la art. 19 şi până la 420.000 lei inclusiv - 1% din această valoare;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între 420.001 lei şi 4.200.000 lei inclusiv - 4.200 lei + 0,1% din ceea ce depăşeşte 420.001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între 4.200.001 lei şi 42.000.000 lei inclusiv - 7.980 lei + 0,01% din ceea ce depăşeşte 4.200.001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între 42.000.001 lei şi 420.000.000 lei inclusiv - 11.760 lei + 0,001% din ceea ce depăşeşte 42.000.001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e) între 420.000.001 lei şi 4.200.000.000 lei inclusiv - 15.540 lei + 0,0001% din ceea ce depăşeşte 420.000.001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f) peste 4.200.000.001 lei - 19.320 lei + 0,00001% din ceea ce depăşeşte 4.200.000.001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Prevederile alin. (1) se aplică şi în cazul în care contestatorul renunţă la contestaţie.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Măsurile prevăzute la alin. (1) nu vor fi aplicabile în măsura în care renunţarea la contestaţie a fost realizată ca urmare a adoptării de către autoritatea contractantă a măsurilor de remediere necesare, în condiţiile art. 256^3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(4) În măsura în care instanţa competentă admite plângerea formulată împotriva deciziei Consiliului de respingere a contestaţiei, autoritatea contractantă are obligaţia de a returna contestatorului sumele prevăzute la alin. (1), în cel mult 5 zile de la data pronunţării deciziei instanţei de judecată.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În măsura în care instanţa competentă admite plângerea formulată împotriva deciziei Consiliului prin care a fost admisă plângerea, respingând pe fond contestaţia, autoritatea contractantă va reţine sumele prevăzute la alin. (1)."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62. La articolul 279, alineatele (3) şi (4) se modifică şi vor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Decizia Consiliului, adoptată potrivit alin. (1), va fi motivată şi comunicată în scris părţilor în termen de 3 zile de la pronunţare.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Decizia motivată se publică în termen de 5 zile de la pronunţare pe pagina de internet a Consiliului, în cadrul buletinului oficial, fără referire la datele de identificare a deciziei şi ale părţilor, la datele cu caracter personal, precum şi la acele informaţii pe care operatorul economic le precizează în oferta sa ca fiind confidenţiale, clasificate sau protejate de un drept de proprietate intelectuală."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63. La articolul 279, după alineatul (5) se introduce un nou alineat, alineatul (6),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Decizia motivată se publică de către autoritatea contractantă în SEAP în termen de 5 zile de la data primirii, fără referire la datele de identificare a deciziei şi ale părţilor, la datele cu caracter personal, precum şi la acele informaţii pe care operatorul economic le precizează în oferta sa ca fiind confidenţiale, clasificate sau protejate de un drept de proprietate intelectuală."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64. La articolul 280,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cazul în care termenul prevăzut de art. 278 alin. (4) nu este respectat de autoritatea contractantă, se aplică conducătorului unităţii care nu a efectuat toate demersurile necesare pentru ducerea la îndeplinire a deciziei Consiliului sau persoanei obligate sancţiunea prevăzută la art. 294 alin. (2)."</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65. La articolul 280, alineatul (4) se abrogă.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66. La articolul 281, alineatele (1) şi (3) se modifică şi vor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281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Deciziile Consiliului privind soluţionarea contestaţiei pot fi atacate de către autoritatea contractantă şi/sau de către orice persoană vătămată, în sensul art. 255 alin. (2), cu plângere la instanţa judecătorească prevăzută la art. 283 alin. (1), în termen de 10 zile de la comunicare, atât pentru motive de nelegalitate, cât şi de netemeinicie.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Persoana care formulează plângerea împotriva deciziei pronunţate de Consiliu comunică, în termenul prevăzut la alin. (1), o copie a acesteia, precum şi a înscrisurilor doveditoare, fără referire la acele informaţii pe care operatorul economic le precizează în oferta sa ca fiind confidenţiale, clasificate sau protejate de un drept de proprietate intelectuală, şi părţilor care au fost implicate în procedura de contestare în faţa Consiliului, depunând dovada de comunicare în faţa instanţei până la primul termen de judecată."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67. La articolul 285, după alineatul (5) se introduce un nou alineat, alineatul (6),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Hotărârea motivată pronunţată de instanţă va fi înaintată, în copie, în termen de 15 zile de la data redactării, către Autoritatea Naţională pentru Reglementarea şi Monitorizarea Achiziţiilor Publice, care o publică în SEAP, fără referire la datele de identificare a deciziei şi ale părţilor, la datele cu caracter personal, precum şi la acele informaţii pe care operatorul economic le precizează ca fiind confidenţiale, clasificate sau protejate de un drept de proprietate intelectuală."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68. La articolul 286,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286</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Procesele şi cererile privind acordarea despăgubirilor pentru repararea prejudiciilor cauzate în cadrul procedurii de atribuire, precum şi cele privind executarea, nulitatea, anularea, rezoluţiunea, rezilierea sau denunţarea unilaterală a contractelor de achiziţie </w:t>
      </w:r>
      <w:r w:rsidRPr="001A3A42">
        <w:rPr>
          <w:rFonts w:ascii="Arial" w:hAnsi="Arial" w:cs="Arial"/>
          <w:sz w:val="22"/>
          <w:szCs w:val="22"/>
        </w:rPr>
        <w:lastRenderedPageBreak/>
        <w:t>publică se soluţionează în primă instanţă de către secţia de contencios administrativ şi fiscal a tribunalului în circumscripţia căruia se află sediul autorităţii contractante."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69. La articolul 287^10 alineatul (1), după litera c) se introduce o nouă literă, litera d),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 în alte cazuri prevăzute de lege."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70. La articolul 287^12, alineatul (2)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În sensul prevederilor alin. (1) lit. a), publicarea anunţului şi în Jurnalul Oficial al Uniunii Europene nu este necesară în următoarele situaţii: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 autoritatea contractantă se încadrează în una dintre categoriile prevăzute la art. 8 lit. a) - c), iar valoarea estimată a contractului de furnizare ori de servicii care urmează să fie atribuit este mai mică decât echivalentul în lei al sumei de 130.000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 autoritatea contractantă se încadrează în una dintre categoriile prevăzute la art. 8 lit. d) sau e), iar valoarea estimată a contractului de furnizare sau de servicii care urmează să fie atribuit/încheiat este mai mică decât echivalentul în lei al sumei de 400.000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 valoarea estimată a contractului de lucrări care urmează să fie atribuit/încheiat este mai mică decât echivalentul în lei al sumei de 5.000.000 euro."</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71. La articolul 287^16, alineatul (1)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287^16</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Hotărârea pronunţată în primă instanţă poate fi atacată numai cu recurs, în termen de 5 zile de la comunicare. Recursul se judecă de Secţia contencios administrativ şi fiscal a curţii de apel."</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72. La articolul 287^16, alineatul (2) se abrogă.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73. La articolul 293, litera k)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"k) aplicarea unor factori de evaluare ce nu reflectă avantaje pentru autoritatea contractantă;".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74. La articolul 293, după litera l) se introduce o nouă literă, litera l^1),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"l^1) netransmiterea notificării prevăzute la art. 19^1;".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75. La articolul 293, litera m)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 încălcarea dispoziţiilor art. 295 alin. (5)."</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76. Articolul 294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294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Contravenţia prevăzută la art. 293 lit. l^1) se sancţionează cu amendă de la 2.000 lei la 5.000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Contravenţiile prevăzute la art. 293 lit. e^1), f), n), u) şi v) se sancţionează cu amendă de la 20.000 lei la 40.000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Contravenţiile prevăzute la art. 293 lit. a), c), k), m^1), q), s), t) şi w) se sancţionează cu amendă de la 40.000 lei la 80.000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(4) Contravenţiile prevăzute la art. 293 lit. b), d), e), g), h), i), j), j^1), l), m), o), p) şi r) se sancţionează cu amendă de la 80.000 lei la 100.000 lei.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Amenzile pentru săvârşirea contravenţiilor de la art. 293 pot fi aplicate atât persoanelor fizice, cât şi persoanelor juridice.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Contravenientul persoană fizică şi/sau juridică poate achita în termen de cel mult 48 de ore de la data încheierii procesului-verbal ori, după caz, de la data comunicării acestuia jumătate din minimul amenzilor prevăzute la art. 294 alin. (1) - (4).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 Prin derogare de la prevederile art. 8 alin. (4) din Ordonanţa Guvernului nr. 2/2001 privind regimul juridic al contravenţiilor, aprobată cu modificări şi completări prin Legea nr. 180/2002, cu modificările şi completările ulterioare, sumele provenite din amenzile prevăzute la art. 294 alin. (1) - (4) aplicate persoanelor fizice se fac integral venit la bugetul de stat."</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77. La articolul 295, după alineatul (4) se introduc două noi alineate, alineatele (5) şi (6),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"(5) Autoritatea contractantă pune la dispoziţia persoanelor precizate la alin. (1) documentele solicitate şi le permite accesul la sediul acesteia.</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(6) Procedura de supraveghere prevăzută la art. 3 lit. c) din Ordonanţa de urgenţă a Guvernului nr. 74/2005 privind înfiinţarea Autorităţii Naţionale pentru Reglementarea şi </w:t>
      </w:r>
      <w:r w:rsidRPr="001A3A42">
        <w:rPr>
          <w:rFonts w:ascii="Arial" w:hAnsi="Arial" w:cs="Arial"/>
          <w:sz w:val="22"/>
          <w:szCs w:val="22"/>
        </w:rPr>
        <w:lastRenderedPageBreak/>
        <w:t>Monitorizarea Achiziţiilor Publice, aprobată cu modificări prin Legea nr. 111/2006, cu modificările ulterioare, se desfăşoară în conformitate cu regulamentul aprobat prin ordin al preşedintelui Autorităţii Naţionale pentru Reglementarea şi Monitorizarea Achiziţiilor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78. La articolul 296^1 alineatul (1), partea introductivă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296^1</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Fără a aduce atingere prevederilor art. 294 şi în măsura în care un operator economic nu a utilizat o cale de atac în acest sens, Autoritatea Naţională pentru Reglementarea şi Monitorizarea Achiziţiilor Publice poate solicita instanţei de judecată, în condiţiile legii, constatarea nulităţii absolute a contractelor, pentru următoarele motive:".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79. La articolul 296^1 alineatul (1), litera g) se modifică şi va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"g) nerespectarea/modificarea criteriilor de calificare şi/sau selecţie şi/sau a factorilor de evaluare prevăzute/prevăzuţi în cadrul invitaţiei de participare/anunţului de participare, cu excepţia situaţiilor prevăzute la art. 179 alin. (4);".</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80. La articolul 296^1, după litera h) se introduce o nouă literă, litera i), cu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"i) deciziile luate de autoritatea contractantă în procesul de evaluare a ofertelor au avut la bază cerinţe/criterii de calificare şi/sau selecţie ce nu se regăsesc în fişa de date/anunţul de participare/invitaţia de participare."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81. La articolul 296^1, alineatele (2) şi (3) se modifică şi vor avea următorul cuprins:</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Litigiile la care face referire alin. (1) se soluţionează, de urgenţă şi cu precădere, de către Tribunalul Bucureşti, Secţia contencios administrativ şi fiscal, potrivit dispoziţiilor art. 720^2 -720^7 şi 720^9 din Codul de procedură civilă, care se aplică în mod corespunzător.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(3) Sentinţa Tribunalului Bucureşti poate fi atacată numai cu recurs, în termen de 15 zile de la data comunicării, la Curtea de Apel Bucureşti, Secţia contencios administrativ şi fiscal."</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(1) Procedurile de atribuire în curs de desfăşurare şi contractele în curs de executare, la data intrării în vigoare a prezentei ordonanţe de urgenţă, rămân supuse legislaţiei în vigoare la data iniţierii, respectiv, încheierii acestora.</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(2) Prin procedură de atribuire în curs de desfăşurare se înţelege orice procedură pentru care s-a transmis un anunţ de participare sau, după caz, o invitaţie de participare, până la data intrării în vigoare a prezentei ordonanţe de urgentă.</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III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Contestaţiile, procesele şi cererile în materie de achiziţii publice, aflate în curs de soluţionare în faţa Consiliului sau, după caz, a instanţelor judecătoreşti la data intrării în vigoare a prezentei ordonanţe de urgenţă, continuă să se judece în condiţiile şi cu procedura prevăzute de legea în vigoare la data la care au fost începute.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IV</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Dispoziţiile prezentei ordonanţe de urgenţă intră în vigoare la 1 ianuarie 2013.</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ART. V</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Prin derogare de la prevederile art. 70 alin. (4) din Legea nr. 24/2000 privind normele de tehnică legislativă pentru elaborarea actelor normative, republicată, cu modificările şi completările ulterioare, Ordonanţa de urgenţă a Guvernului nr. 34/2006 privind atribuirea contractelor de achiziţie publică, a contractelor de concesiune de lucrări publice şi a contractelor de concesiune de servicii, publicată în Monitorul Oficial al României, Partea I, nr. 418 din 15 mai 2006, aprobată cu modificări şi completări prin Legea nr. 337/2006, cu modificările şi completările ulterioare, precum şi cu cele aduse prin prezenta ordonanţă de urgenţă, se va republica în Monitorul Oficial al României, Partea I, după publicarea acesteia în Monitorul Oficial al României, Partea I, dându-se textelor o nouă numerotare.</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PRIM-MINISTRU</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VICTOR-VIOREL PONTA</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Contrasemnează:</w:t>
      </w:r>
      <w:bookmarkStart w:id="0" w:name="_GoBack"/>
      <w:bookmarkEnd w:id="0"/>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Preşedintele Autorităţii Naţionale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lastRenderedPageBreak/>
        <w:t xml:space="preserve">                       pentru Reglementarea şi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Monitorizarea Achiziţiilor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Lucian Dan Vlădescu</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Secretarul general al Guvernului,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Ion Moraru</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Ministrul administraţiei şi internelor,</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Mircea Duşa</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p. Ministrul afacerilor europene,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Răzvan Cotovelea,</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secretar de stat</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Ministrul comunicaţiilor şi</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societăţii informaţionale,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Dan Nica</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Viceprim-ministru,</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ministrul finanţelor publice,</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Florin Georgescu</w:t>
      </w:r>
    </w:p>
    <w:p w:rsidR="00193A0A" w:rsidRPr="001A3A42" w:rsidRDefault="00193A0A" w:rsidP="006A524A">
      <w:pPr>
        <w:autoSpaceDE w:val="0"/>
        <w:autoSpaceDN w:val="0"/>
        <w:adjustRightInd w:val="0"/>
        <w:jc w:val="both"/>
        <w:rPr>
          <w:rFonts w:ascii="Arial" w:hAnsi="Arial" w:cs="Arial"/>
          <w:sz w:val="22"/>
          <w:szCs w:val="22"/>
        </w:rPr>
      </w:pP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Bucureşti, 27 noiembrie 2012.</w:t>
      </w:r>
    </w:p>
    <w:p w:rsidR="00193A0A" w:rsidRPr="001A3A42" w:rsidRDefault="00193A0A" w:rsidP="006A524A">
      <w:pPr>
        <w:autoSpaceDE w:val="0"/>
        <w:autoSpaceDN w:val="0"/>
        <w:adjustRightInd w:val="0"/>
        <w:jc w:val="both"/>
        <w:rPr>
          <w:rFonts w:ascii="Arial" w:hAnsi="Arial" w:cs="Arial"/>
          <w:sz w:val="22"/>
          <w:szCs w:val="22"/>
        </w:rPr>
      </w:pPr>
      <w:r w:rsidRPr="001A3A42">
        <w:rPr>
          <w:rFonts w:ascii="Arial" w:hAnsi="Arial" w:cs="Arial"/>
          <w:sz w:val="22"/>
          <w:szCs w:val="22"/>
        </w:rPr>
        <w:t xml:space="preserve">    Nr. 77.</w:t>
      </w:r>
    </w:p>
    <w:p w:rsidR="00193A0A" w:rsidRPr="001A3A42" w:rsidRDefault="00193A0A" w:rsidP="006A524A">
      <w:pPr>
        <w:autoSpaceDE w:val="0"/>
        <w:autoSpaceDN w:val="0"/>
        <w:adjustRightInd w:val="0"/>
        <w:jc w:val="both"/>
        <w:rPr>
          <w:rFonts w:ascii="Arial" w:hAnsi="Arial" w:cs="Arial"/>
          <w:sz w:val="22"/>
          <w:szCs w:val="22"/>
        </w:rPr>
      </w:pPr>
    </w:p>
    <w:p w:rsidR="005E235F" w:rsidRPr="001A3A42" w:rsidRDefault="00193A0A" w:rsidP="006A524A">
      <w:pPr>
        <w:jc w:val="both"/>
        <w:rPr>
          <w:rFonts w:ascii="Arial" w:hAnsi="Arial" w:cs="Arial"/>
          <w:sz w:val="22"/>
          <w:szCs w:val="22"/>
        </w:rPr>
      </w:pPr>
      <w:r w:rsidRPr="001A3A42">
        <w:rPr>
          <w:rFonts w:ascii="Arial" w:hAnsi="Arial" w:cs="Arial"/>
          <w:sz w:val="22"/>
          <w:szCs w:val="22"/>
        </w:rPr>
        <w:t xml:space="preserve">                              ---------------</w:t>
      </w:r>
    </w:p>
    <w:sectPr w:rsidR="005E235F" w:rsidRPr="001A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0A"/>
    <w:rsid w:val="00193A0A"/>
    <w:rsid w:val="00196905"/>
    <w:rsid w:val="001A3A42"/>
    <w:rsid w:val="002623C5"/>
    <w:rsid w:val="005E235F"/>
    <w:rsid w:val="006A524A"/>
    <w:rsid w:val="007813E8"/>
    <w:rsid w:val="00A86F78"/>
    <w:rsid w:val="00B977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7338</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Birau</dc:creator>
  <cp:keywords/>
  <dc:description/>
  <cp:lastModifiedBy>Carmen Ciobanu</cp:lastModifiedBy>
  <cp:revision>4</cp:revision>
  <dcterms:created xsi:type="dcterms:W3CDTF">2012-12-12T07:23:00Z</dcterms:created>
  <dcterms:modified xsi:type="dcterms:W3CDTF">2012-12-12T07:32:00Z</dcterms:modified>
</cp:coreProperties>
</file>